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FBEDE" w14:textId="1C78EC63" w:rsidR="00EE2610" w:rsidRPr="002A769B" w:rsidRDefault="00D23CBE">
      <w:pPr>
        <w:rPr>
          <w:rFonts w:ascii="Verdana" w:hAnsi="Verdana"/>
          <w:b/>
          <w:bCs/>
          <w:sz w:val="22"/>
          <w:szCs w:val="22"/>
        </w:rPr>
      </w:pPr>
      <w:bookmarkStart w:id="0" w:name="_GoBack"/>
      <w:bookmarkEnd w:id="0"/>
      <w:r w:rsidRPr="002A769B">
        <w:rPr>
          <w:rFonts w:ascii="Verdana" w:hAnsi="Verdana"/>
          <w:b/>
          <w:bCs/>
          <w:sz w:val="22"/>
          <w:szCs w:val="22"/>
        </w:rPr>
        <w:t>ZAŁĄCZNIK A</w:t>
      </w:r>
    </w:p>
    <w:p w14:paraId="7C08ABF1" w14:textId="73B92E4A" w:rsidR="00D23CBE" w:rsidRPr="00D23CBE" w:rsidRDefault="00D23CBE">
      <w:pPr>
        <w:rPr>
          <w:rFonts w:ascii="Verdana" w:hAnsi="Verdana"/>
        </w:rPr>
      </w:pPr>
    </w:p>
    <w:tbl>
      <w:tblPr>
        <w:tblStyle w:val="Tabela-Siatka"/>
        <w:tblW w:w="9606" w:type="dxa"/>
        <w:tblInd w:w="0" w:type="dxa"/>
        <w:tblLook w:val="04A0" w:firstRow="1" w:lastRow="0" w:firstColumn="1" w:lastColumn="0" w:noHBand="0" w:noVBand="1"/>
      </w:tblPr>
      <w:tblGrid>
        <w:gridCol w:w="2580"/>
        <w:gridCol w:w="7026"/>
      </w:tblGrid>
      <w:tr w:rsidR="00D23CBE" w:rsidRPr="008E3526" w14:paraId="4F5C6FE3" w14:textId="77777777" w:rsidTr="006F52A4">
        <w:tc>
          <w:tcPr>
            <w:tcW w:w="9606" w:type="dxa"/>
            <w:gridSpan w:val="2"/>
            <w:tcBorders>
              <w:top w:val="single" w:sz="12" w:space="0" w:color="4472C4"/>
              <w:left w:val="single" w:sz="12" w:space="0" w:color="4472C4"/>
              <w:bottom w:val="single" w:sz="12" w:space="0" w:color="4472C4"/>
              <w:right w:val="single" w:sz="12" w:space="0" w:color="4472C4"/>
            </w:tcBorders>
            <w:shd w:val="clear" w:color="auto" w:fill="D9D9D9" w:themeFill="background1" w:themeFillShade="D9"/>
          </w:tcPr>
          <w:p w14:paraId="6A0EA853" w14:textId="77777777" w:rsidR="00D23CBE" w:rsidRPr="008E3526" w:rsidRDefault="00D23CBE" w:rsidP="007238FD">
            <w:pPr>
              <w:spacing w:before="288" w:after="120"/>
              <w:jc w:val="left"/>
              <w:rPr>
                <w:rFonts w:ascii="Verdana" w:hAnsi="Verdana" w:cs="Calibri"/>
                <w:b/>
                <w:bCs/>
                <w:color w:val="000000" w:themeColor="text1"/>
                <w:szCs w:val="20"/>
              </w:rPr>
            </w:pPr>
            <w:bookmarkStart w:id="1" w:name="_Hlk61448260"/>
            <w:r w:rsidRPr="008E3526">
              <w:rPr>
                <w:rFonts w:ascii="Verdana" w:hAnsi="Verdana" w:cs="Calibri"/>
                <w:b/>
                <w:bCs/>
                <w:color w:val="000000" w:themeColor="text1"/>
                <w:szCs w:val="20"/>
              </w:rPr>
              <w:t>Warunki, zdarzenia, okoliczności, działania lub zaniechania określone w par. 25(a) MSZJ 1, które firma zobowiązana jest zrozumieć</w:t>
            </w:r>
          </w:p>
        </w:tc>
      </w:tr>
      <w:tr w:rsidR="00D23CBE" w:rsidRPr="008E3526" w14:paraId="23544678" w14:textId="77777777" w:rsidTr="006F52A4">
        <w:tc>
          <w:tcPr>
            <w:tcW w:w="2580" w:type="dxa"/>
            <w:tcBorders>
              <w:top w:val="single" w:sz="12" w:space="0" w:color="4472C4"/>
              <w:left w:val="single" w:sz="12" w:space="0" w:color="4472C4"/>
              <w:bottom w:val="single" w:sz="12" w:space="0" w:color="4472C4"/>
              <w:right w:val="single" w:sz="12" w:space="0" w:color="0070C0"/>
            </w:tcBorders>
            <w:shd w:val="clear" w:color="auto" w:fill="D9D9D9" w:themeFill="background1" w:themeFillShade="D9"/>
          </w:tcPr>
          <w:p w14:paraId="283D3B59" w14:textId="77777777" w:rsidR="00D23CBE" w:rsidRPr="008E3526" w:rsidRDefault="00D23CBE" w:rsidP="007238FD">
            <w:pPr>
              <w:spacing w:before="288"/>
              <w:jc w:val="left"/>
              <w:rPr>
                <w:rFonts w:ascii="Verdana" w:eastAsia="Times New Roman" w:hAnsi="Verdana" w:cs="Calibri"/>
                <w:b/>
                <w:bCs/>
                <w:color w:val="000000" w:themeColor="text1"/>
                <w:szCs w:val="20"/>
              </w:rPr>
            </w:pPr>
            <w:r w:rsidRPr="008E3526">
              <w:rPr>
                <w:rFonts w:ascii="Verdana" w:hAnsi="Verdana" w:cs="Calibri"/>
                <w:b/>
                <w:bCs/>
                <w:color w:val="000000" w:themeColor="text1"/>
                <w:szCs w:val="20"/>
              </w:rPr>
              <w:t>Złożoność i charakterystyka działania firmy</w:t>
            </w:r>
          </w:p>
        </w:tc>
        <w:tc>
          <w:tcPr>
            <w:tcW w:w="7026" w:type="dxa"/>
            <w:tcBorders>
              <w:top w:val="single" w:sz="12" w:space="0" w:color="4472C4"/>
              <w:left w:val="single" w:sz="12" w:space="0" w:color="0070C0"/>
              <w:bottom w:val="single" w:sz="12" w:space="0" w:color="4472C4"/>
              <w:right w:val="single" w:sz="12" w:space="0" w:color="4472C4"/>
            </w:tcBorders>
          </w:tcPr>
          <w:p w14:paraId="501A7DAD" w14:textId="77777777" w:rsidR="00D23CBE" w:rsidRPr="008E3526" w:rsidRDefault="00D23CBE" w:rsidP="007238FD">
            <w:pPr>
              <w:spacing w:before="288" w:after="120"/>
              <w:rPr>
                <w:rFonts w:ascii="Verdana" w:eastAsia="Times New Roman" w:hAnsi="Verdana" w:cs="Calibri"/>
                <w:bCs/>
                <w:color w:val="000000" w:themeColor="text1"/>
                <w:szCs w:val="20"/>
              </w:rPr>
            </w:pPr>
            <w:r w:rsidRPr="008E3526">
              <w:rPr>
                <w:rFonts w:ascii="Verdana" w:hAnsi="Verdana" w:cs="Calibri"/>
                <w:color w:val="000000" w:themeColor="text1"/>
                <w:szCs w:val="20"/>
              </w:rPr>
              <w:t>Zrozumienie i rozważenie spraw takich jak wielkość firmy, geograficzne rozproszenie firmy, struktura firmy, zakres, w jakim procesy lub działalność firmy są skoncentrowane lub scentralizowane (np. korzystanie z centrów świadczenia usług) bądź charakterystyka i dostępność zasobów firmy.</w:t>
            </w:r>
          </w:p>
        </w:tc>
      </w:tr>
      <w:tr w:rsidR="00D23CBE" w:rsidRPr="008E3526" w14:paraId="44C2E7C1" w14:textId="77777777" w:rsidTr="006F52A4">
        <w:tc>
          <w:tcPr>
            <w:tcW w:w="2580" w:type="dxa"/>
            <w:tcBorders>
              <w:top w:val="single" w:sz="12" w:space="0" w:color="4472C4"/>
              <w:left w:val="single" w:sz="12" w:space="0" w:color="4472C4"/>
              <w:bottom w:val="single" w:sz="12" w:space="0" w:color="4472C4"/>
              <w:right w:val="single" w:sz="12" w:space="0" w:color="0070C0"/>
            </w:tcBorders>
            <w:shd w:val="clear" w:color="auto" w:fill="D9D9D9" w:themeFill="background1" w:themeFillShade="D9"/>
          </w:tcPr>
          <w:p w14:paraId="73201D4B" w14:textId="77777777" w:rsidR="00D23CBE" w:rsidRPr="008E3526" w:rsidRDefault="00D23CBE" w:rsidP="007238FD">
            <w:pPr>
              <w:spacing w:before="288" w:after="120"/>
              <w:jc w:val="left"/>
              <w:rPr>
                <w:rFonts w:ascii="Verdana" w:hAnsi="Verdana" w:cs="Calibri"/>
                <w:b/>
                <w:bCs/>
                <w:color w:val="000000" w:themeColor="text1"/>
                <w:szCs w:val="20"/>
              </w:rPr>
            </w:pPr>
            <w:r w:rsidRPr="008E3526">
              <w:rPr>
                <w:rFonts w:ascii="Verdana" w:hAnsi="Verdana" w:cs="Calibri"/>
                <w:b/>
                <w:bCs/>
                <w:color w:val="000000" w:themeColor="text1"/>
                <w:szCs w:val="20"/>
              </w:rPr>
              <w:t>Decyzje i działania operacyjno-strategiczne, procesy biznesowe i model biznesowy firmy</w:t>
            </w:r>
          </w:p>
        </w:tc>
        <w:tc>
          <w:tcPr>
            <w:tcW w:w="7026" w:type="dxa"/>
            <w:tcBorders>
              <w:top w:val="single" w:sz="12" w:space="0" w:color="4472C4"/>
              <w:left w:val="single" w:sz="12" w:space="0" w:color="0070C0"/>
              <w:bottom w:val="single" w:sz="12" w:space="0" w:color="4472C4"/>
              <w:right w:val="single" w:sz="12" w:space="0" w:color="4472C4"/>
            </w:tcBorders>
          </w:tcPr>
          <w:p w14:paraId="3210ACD3" w14:textId="77777777" w:rsidR="00D23CBE" w:rsidRPr="008E3526" w:rsidRDefault="00D23CBE" w:rsidP="007238FD">
            <w:pPr>
              <w:spacing w:before="288"/>
              <w:rPr>
                <w:rFonts w:ascii="Verdana" w:eastAsia="Times New Roman" w:hAnsi="Verdana" w:cs="Calibri"/>
                <w:bCs/>
                <w:color w:val="000000" w:themeColor="text1"/>
                <w:szCs w:val="20"/>
              </w:rPr>
            </w:pPr>
            <w:r w:rsidRPr="008E3526">
              <w:rPr>
                <w:rFonts w:ascii="Verdana" w:hAnsi="Verdana" w:cs="Calibri"/>
                <w:color w:val="000000" w:themeColor="text1"/>
                <w:szCs w:val="20"/>
              </w:rPr>
              <w:t xml:space="preserve">Zrozumienie i rozważenie spraw takich jak decyzje dotyczące spraw finansowych i operacyjnych, w tym celów strategicznych firmy, sposobu zarządzania zasobami finansowymi, zwiększenia udziału firmy w rynku, specjalizacja w branży lub oferty nowych usług. </w:t>
            </w:r>
          </w:p>
        </w:tc>
      </w:tr>
      <w:tr w:rsidR="00D23CBE" w:rsidRPr="008E3526" w14:paraId="382B2F97" w14:textId="77777777" w:rsidTr="006F52A4">
        <w:tc>
          <w:tcPr>
            <w:tcW w:w="2580" w:type="dxa"/>
            <w:tcBorders>
              <w:top w:val="single" w:sz="12" w:space="0" w:color="4472C4"/>
              <w:left w:val="single" w:sz="12" w:space="0" w:color="4472C4"/>
              <w:bottom w:val="single" w:sz="12" w:space="0" w:color="4472C4"/>
              <w:right w:val="single" w:sz="12" w:space="0" w:color="0070C0"/>
            </w:tcBorders>
            <w:shd w:val="clear" w:color="auto" w:fill="D9D9D9" w:themeFill="background1" w:themeFillShade="D9"/>
          </w:tcPr>
          <w:p w14:paraId="0441AD6F" w14:textId="77777777" w:rsidR="00D23CBE" w:rsidRPr="008E3526" w:rsidRDefault="00D23CBE" w:rsidP="007238FD">
            <w:pPr>
              <w:spacing w:before="288"/>
              <w:jc w:val="left"/>
              <w:rPr>
                <w:rFonts w:ascii="Verdana" w:eastAsia="Times New Roman" w:hAnsi="Verdana" w:cs="Calibri"/>
                <w:b/>
                <w:bCs/>
                <w:color w:val="000000" w:themeColor="text1"/>
                <w:szCs w:val="20"/>
              </w:rPr>
            </w:pPr>
            <w:r w:rsidRPr="008E3526">
              <w:rPr>
                <w:rFonts w:ascii="Verdana" w:hAnsi="Verdana" w:cs="Calibri"/>
                <w:b/>
                <w:bCs/>
                <w:color w:val="000000" w:themeColor="text1"/>
                <w:szCs w:val="20"/>
              </w:rPr>
              <w:t>Cechy i styl zarządzania kierownictwa</w:t>
            </w:r>
          </w:p>
        </w:tc>
        <w:tc>
          <w:tcPr>
            <w:tcW w:w="7026" w:type="dxa"/>
            <w:tcBorders>
              <w:top w:val="single" w:sz="12" w:space="0" w:color="4472C4"/>
              <w:left w:val="single" w:sz="12" w:space="0" w:color="0070C0"/>
              <w:bottom w:val="single" w:sz="12" w:space="0" w:color="4472C4"/>
              <w:right w:val="single" w:sz="12" w:space="0" w:color="4472C4"/>
            </w:tcBorders>
          </w:tcPr>
          <w:p w14:paraId="66A73864" w14:textId="77777777" w:rsidR="00D23CBE" w:rsidRPr="008E3526" w:rsidRDefault="00D23CBE" w:rsidP="007238FD">
            <w:pPr>
              <w:spacing w:before="288" w:after="120"/>
              <w:rPr>
                <w:rFonts w:ascii="Verdana" w:eastAsia="Times New Roman" w:hAnsi="Verdana" w:cs="Calibri"/>
                <w:bCs/>
                <w:color w:val="000000" w:themeColor="text1"/>
                <w:szCs w:val="20"/>
              </w:rPr>
            </w:pPr>
            <w:r w:rsidRPr="008E3526">
              <w:rPr>
                <w:rFonts w:ascii="Verdana" w:hAnsi="Verdana" w:cs="Calibri"/>
                <w:color w:val="000000" w:themeColor="text1"/>
                <w:szCs w:val="20"/>
              </w:rPr>
              <w:t>Zrozumienie i rozważenie spraw takich jak skład kierownictwa firmy i okres pełnienia przez nich stanowiska, sposób rozdzielenia umocowań pomiędzy członków kierownictwa oraz sposób motywowania i zachęcania personelu przez kierownictwo.</w:t>
            </w:r>
          </w:p>
        </w:tc>
      </w:tr>
      <w:tr w:rsidR="00D23CBE" w:rsidRPr="008E3526" w14:paraId="7B31AE4A" w14:textId="77777777" w:rsidTr="006F52A4">
        <w:tc>
          <w:tcPr>
            <w:tcW w:w="2580" w:type="dxa"/>
            <w:tcBorders>
              <w:top w:val="single" w:sz="12" w:space="0" w:color="4472C4"/>
              <w:left w:val="single" w:sz="12" w:space="0" w:color="4472C4"/>
              <w:bottom w:val="single" w:sz="12" w:space="0" w:color="4472C4"/>
              <w:right w:val="single" w:sz="12" w:space="0" w:color="0070C0"/>
            </w:tcBorders>
            <w:shd w:val="clear" w:color="auto" w:fill="D9D9D9" w:themeFill="background1" w:themeFillShade="D9"/>
          </w:tcPr>
          <w:p w14:paraId="6BCD96D5" w14:textId="77777777" w:rsidR="00D23CBE" w:rsidRPr="008E3526" w:rsidRDefault="00D23CBE" w:rsidP="007238FD">
            <w:pPr>
              <w:spacing w:before="288"/>
              <w:jc w:val="left"/>
              <w:rPr>
                <w:rFonts w:ascii="Verdana" w:eastAsia="Times New Roman" w:hAnsi="Verdana" w:cs="Calibri"/>
                <w:b/>
                <w:bCs/>
                <w:color w:val="000000" w:themeColor="text1"/>
                <w:szCs w:val="20"/>
              </w:rPr>
            </w:pPr>
            <w:r w:rsidRPr="008E3526">
              <w:rPr>
                <w:rFonts w:ascii="Verdana" w:hAnsi="Verdana" w:cs="Calibri"/>
                <w:b/>
                <w:bCs/>
                <w:color w:val="000000" w:themeColor="text1"/>
                <w:szCs w:val="20"/>
              </w:rPr>
              <w:t>Zasoby firmy, w tym zasoby zapewniane przez dostawców usług</w:t>
            </w:r>
          </w:p>
        </w:tc>
        <w:tc>
          <w:tcPr>
            <w:tcW w:w="7026" w:type="dxa"/>
            <w:tcBorders>
              <w:top w:val="single" w:sz="12" w:space="0" w:color="4472C4"/>
              <w:left w:val="single" w:sz="12" w:space="0" w:color="0070C0"/>
              <w:bottom w:val="single" w:sz="12" w:space="0" w:color="4472C4"/>
              <w:right w:val="single" w:sz="12" w:space="0" w:color="4472C4"/>
            </w:tcBorders>
          </w:tcPr>
          <w:p w14:paraId="4920678F" w14:textId="77777777" w:rsidR="00D23CBE" w:rsidRPr="008E3526" w:rsidRDefault="00D23CBE" w:rsidP="007238FD">
            <w:pPr>
              <w:spacing w:before="288" w:after="120"/>
              <w:rPr>
                <w:rFonts w:ascii="Verdana" w:eastAsia="Times New Roman" w:hAnsi="Verdana" w:cs="Calibri"/>
                <w:bCs/>
                <w:color w:val="000000" w:themeColor="text1"/>
                <w:szCs w:val="20"/>
              </w:rPr>
            </w:pPr>
            <w:r w:rsidRPr="008E3526">
              <w:rPr>
                <w:rFonts w:ascii="Verdana" w:hAnsi="Verdana" w:cs="Calibri"/>
                <w:color w:val="000000" w:themeColor="text1"/>
                <w:szCs w:val="20"/>
              </w:rPr>
              <w:t>Zrozumienie i rozważenie spraw takich jak ogólne doświadczenie personelu oraz ogólny profil i struktura pracowników, korzystanie oraz sposób pozyskiwania, rozwoju i utrzymania technologii oraz dostępność i alokowanie zasobów finansowych. W odniesieniu do dostawców usług, rodzaj zasobów zapewnianych przez dostawców usług, sposób oraz zakres, w jakim zasoby będą wykorzystane przez firmę oraz ogólna charakterystyka dostawców usług, z których korzysta firma.</w:t>
            </w:r>
          </w:p>
        </w:tc>
      </w:tr>
      <w:tr w:rsidR="00D23CBE" w:rsidRPr="008E3526" w14:paraId="20747D20" w14:textId="77777777" w:rsidTr="006F52A4">
        <w:tc>
          <w:tcPr>
            <w:tcW w:w="2580" w:type="dxa"/>
            <w:tcBorders>
              <w:top w:val="single" w:sz="12" w:space="0" w:color="4472C4"/>
              <w:left w:val="single" w:sz="12" w:space="0" w:color="4472C4"/>
              <w:bottom w:val="single" w:sz="24" w:space="0" w:color="FFFFFF" w:themeColor="background1"/>
              <w:right w:val="single" w:sz="12" w:space="0" w:color="0070C0"/>
            </w:tcBorders>
            <w:shd w:val="clear" w:color="auto" w:fill="D9D9D9" w:themeFill="background1" w:themeFillShade="D9"/>
          </w:tcPr>
          <w:p w14:paraId="3BF848D1" w14:textId="689C38AC" w:rsidR="00D23CBE" w:rsidRPr="008E3526" w:rsidRDefault="00D23CBE" w:rsidP="007238FD">
            <w:pPr>
              <w:spacing w:before="288"/>
              <w:jc w:val="left"/>
              <w:rPr>
                <w:rFonts w:ascii="Verdana" w:eastAsia="Times New Roman" w:hAnsi="Verdana" w:cs="Calibri"/>
                <w:b/>
                <w:bCs/>
                <w:color w:val="000000" w:themeColor="text1"/>
                <w:szCs w:val="20"/>
              </w:rPr>
            </w:pPr>
            <w:r w:rsidRPr="008E3526">
              <w:rPr>
                <w:rFonts w:ascii="Verdana" w:hAnsi="Verdana" w:cs="Calibri"/>
                <w:b/>
                <w:bCs/>
                <w:color w:val="000000" w:themeColor="text1"/>
                <w:szCs w:val="20"/>
              </w:rPr>
              <w:t xml:space="preserve">Przepisy prawa, </w:t>
            </w:r>
            <w:r w:rsidR="008E3526">
              <w:rPr>
                <w:rFonts w:ascii="Verdana" w:hAnsi="Verdana" w:cs="Calibri"/>
                <w:b/>
                <w:bCs/>
                <w:color w:val="000000" w:themeColor="text1"/>
                <w:szCs w:val="20"/>
              </w:rPr>
              <w:t>regulacje, zawodowe standardy i </w:t>
            </w:r>
            <w:r w:rsidRPr="008E3526">
              <w:rPr>
                <w:rFonts w:ascii="Verdana" w:hAnsi="Verdana" w:cs="Calibri"/>
                <w:b/>
                <w:bCs/>
                <w:color w:val="000000" w:themeColor="text1"/>
                <w:szCs w:val="20"/>
              </w:rPr>
              <w:t>otoczenie, w którym działa firma</w:t>
            </w:r>
          </w:p>
        </w:tc>
        <w:tc>
          <w:tcPr>
            <w:tcW w:w="7026" w:type="dxa"/>
            <w:tcBorders>
              <w:top w:val="single" w:sz="12" w:space="0" w:color="4472C4"/>
              <w:left w:val="single" w:sz="12" w:space="0" w:color="0070C0"/>
              <w:bottom w:val="single" w:sz="24" w:space="0" w:color="0B5494"/>
              <w:right w:val="single" w:sz="12" w:space="0" w:color="4472C4"/>
            </w:tcBorders>
          </w:tcPr>
          <w:p w14:paraId="3F0E3E30" w14:textId="77777777" w:rsidR="00D23CBE" w:rsidRPr="008E3526" w:rsidRDefault="00D23CBE" w:rsidP="007238FD">
            <w:pPr>
              <w:spacing w:before="288" w:after="120"/>
              <w:rPr>
                <w:rFonts w:ascii="Verdana" w:hAnsi="Verdana" w:cs="Calibri"/>
                <w:color w:val="000000" w:themeColor="text1"/>
                <w:szCs w:val="20"/>
              </w:rPr>
            </w:pPr>
            <w:r w:rsidRPr="008E3526">
              <w:rPr>
                <w:rFonts w:ascii="Verdana" w:hAnsi="Verdana" w:cs="Calibri"/>
                <w:color w:val="000000" w:themeColor="text1"/>
                <w:szCs w:val="20"/>
              </w:rPr>
              <w:t>Zrozumienie i rozważenie spraw takich jak regulacje mające bezpośrednie zastosowanie do firmy, zawodowe standardy, inne standardy lub regulacje mające wpływ na zlecenia wykonywane przez firmę (np. ogólne ramowe założenia sprawozdawczości finansowej powszechnie stosowane w danym systemie prawnym), stabilność ekonomiczna, czynniki społeczne lub postrzeganie profesjonalnych firm audytorskich przez ogół społeczeństwa (np. ogólny brak zaufania wynikający z powtarzających się niepowodzeń badania sprawozdań finansowych).</w:t>
            </w:r>
          </w:p>
        </w:tc>
      </w:tr>
      <w:tr w:rsidR="00D23CBE" w:rsidRPr="008E3526" w14:paraId="24484372" w14:textId="77777777" w:rsidTr="006F52A4">
        <w:trPr>
          <w:trHeight w:val="1320"/>
        </w:trPr>
        <w:tc>
          <w:tcPr>
            <w:tcW w:w="2580" w:type="dxa"/>
            <w:tcBorders>
              <w:top w:val="single" w:sz="12" w:space="0" w:color="4472C4"/>
              <w:left w:val="single" w:sz="12" w:space="0" w:color="4472C4"/>
              <w:bottom w:val="single" w:sz="12" w:space="0" w:color="4472C4"/>
              <w:right w:val="single" w:sz="12" w:space="0" w:color="0070C0"/>
            </w:tcBorders>
            <w:shd w:val="clear" w:color="auto" w:fill="D9D9D9" w:themeFill="background1" w:themeFillShade="D9"/>
          </w:tcPr>
          <w:p w14:paraId="2FF0E541" w14:textId="11297CF3" w:rsidR="00D23CBE" w:rsidRPr="008E3526" w:rsidRDefault="008E3526" w:rsidP="007238FD">
            <w:pPr>
              <w:spacing w:before="288" w:after="120"/>
              <w:jc w:val="left"/>
              <w:rPr>
                <w:rFonts w:ascii="Verdana" w:eastAsia="Times New Roman" w:hAnsi="Verdana" w:cs="Calibri"/>
                <w:b/>
                <w:bCs/>
                <w:color w:val="000000" w:themeColor="text1"/>
                <w:szCs w:val="20"/>
              </w:rPr>
            </w:pPr>
            <w:r>
              <w:rPr>
                <w:rFonts w:ascii="Verdana" w:hAnsi="Verdana" w:cs="Calibri"/>
                <w:b/>
                <w:bCs/>
                <w:color w:val="000000" w:themeColor="text1"/>
                <w:szCs w:val="20"/>
              </w:rPr>
              <w:lastRenderedPageBreak/>
              <w:t>Rodzaj i zakres wymogów sieci i </w:t>
            </w:r>
            <w:r w:rsidR="00D23CBE" w:rsidRPr="008E3526">
              <w:rPr>
                <w:rFonts w:ascii="Verdana" w:hAnsi="Verdana" w:cs="Calibri"/>
                <w:b/>
                <w:bCs/>
                <w:color w:val="000000" w:themeColor="text1"/>
                <w:szCs w:val="20"/>
              </w:rPr>
              <w:t>usług sieciowych</w:t>
            </w:r>
          </w:p>
        </w:tc>
        <w:tc>
          <w:tcPr>
            <w:tcW w:w="7026" w:type="dxa"/>
            <w:tcBorders>
              <w:top w:val="single" w:sz="12" w:space="0" w:color="4472C4"/>
              <w:left w:val="single" w:sz="12" w:space="0" w:color="0070C0"/>
              <w:bottom w:val="single" w:sz="12" w:space="0" w:color="4472C4"/>
              <w:right w:val="single" w:sz="12" w:space="0" w:color="4472C4"/>
            </w:tcBorders>
          </w:tcPr>
          <w:p w14:paraId="4797C408" w14:textId="77777777" w:rsidR="00D23CBE" w:rsidRPr="008E3526" w:rsidRDefault="00D23CBE" w:rsidP="007238FD">
            <w:pPr>
              <w:spacing w:before="288"/>
              <w:rPr>
                <w:rFonts w:ascii="Verdana" w:hAnsi="Verdana" w:cs="Calibri"/>
                <w:color w:val="000000" w:themeColor="text1"/>
                <w:szCs w:val="20"/>
              </w:rPr>
            </w:pPr>
            <w:r w:rsidRPr="008E3526">
              <w:rPr>
                <w:rFonts w:ascii="Verdana" w:hAnsi="Verdana" w:cs="Calibri"/>
                <w:color w:val="000000" w:themeColor="text1"/>
                <w:szCs w:val="20"/>
              </w:rPr>
              <w:t>Zrozumienie i rozważenie spraw takich jak rodzaj sieci, sposób organizacji sieci oraz ogólny poziom jakości wymogów sieci lub świadczonych usług sieciowych.</w:t>
            </w:r>
          </w:p>
        </w:tc>
      </w:tr>
      <w:tr w:rsidR="00D23CBE" w:rsidRPr="008E3526" w14:paraId="50138CE4" w14:textId="77777777" w:rsidTr="006F52A4">
        <w:trPr>
          <w:trHeight w:val="1320"/>
        </w:trPr>
        <w:tc>
          <w:tcPr>
            <w:tcW w:w="2580" w:type="dxa"/>
            <w:tcBorders>
              <w:top w:val="single" w:sz="12" w:space="0" w:color="4472C4"/>
              <w:left w:val="single" w:sz="12" w:space="0" w:color="4472C4"/>
              <w:bottom w:val="single" w:sz="12" w:space="0" w:color="4472C4"/>
              <w:right w:val="single" w:sz="12" w:space="0" w:color="0070C0"/>
            </w:tcBorders>
            <w:shd w:val="clear" w:color="auto" w:fill="D9D9D9" w:themeFill="background1" w:themeFillShade="D9"/>
          </w:tcPr>
          <w:p w14:paraId="03502C68" w14:textId="371530AB" w:rsidR="00D23CBE" w:rsidRPr="008E3526" w:rsidRDefault="00D23CBE" w:rsidP="007238FD">
            <w:pPr>
              <w:spacing w:before="288"/>
              <w:jc w:val="left"/>
              <w:rPr>
                <w:rFonts w:ascii="Verdana" w:eastAsia="Times New Roman" w:hAnsi="Verdana" w:cs="Calibri"/>
                <w:b/>
                <w:bCs/>
                <w:color w:val="000000" w:themeColor="text1"/>
                <w:szCs w:val="20"/>
              </w:rPr>
            </w:pPr>
            <w:r w:rsidRPr="008E3526">
              <w:rPr>
                <w:rFonts w:ascii="Verdana" w:hAnsi="Verdana" w:cs="Calibri"/>
                <w:b/>
                <w:bCs/>
                <w:color w:val="000000" w:themeColor="text1"/>
                <w:szCs w:val="20"/>
              </w:rPr>
              <w:t>Rodzaje zl</w:t>
            </w:r>
            <w:r w:rsidR="008E3526">
              <w:rPr>
                <w:rFonts w:ascii="Verdana" w:hAnsi="Verdana" w:cs="Calibri"/>
                <w:b/>
                <w:bCs/>
                <w:color w:val="000000" w:themeColor="text1"/>
                <w:szCs w:val="20"/>
              </w:rPr>
              <w:t>eceń wykonywanych przez firmę i </w:t>
            </w:r>
            <w:r w:rsidRPr="008E3526">
              <w:rPr>
                <w:rFonts w:ascii="Verdana" w:hAnsi="Verdana" w:cs="Calibri"/>
                <w:b/>
                <w:bCs/>
                <w:color w:val="000000" w:themeColor="text1"/>
                <w:szCs w:val="20"/>
              </w:rPr>
              <w:t>sprawozdań, które mają być wydane</w:t>
            </w:r>
          </w:p>
        </w:tc>
        <w:tc>
          <w:tcPr>
            <w:tcW w:w="7026" w:type="dxa"/>
            <w:tcBorders>
              <w:top w:val="single" w:sz="12" w:space="0" w:color="4472C4"/>
              <w:left w:val="single" w:sz="12" w:space="0" w:color="0070C0"/>
              <w:bottom w:val="single" w:sz="12" w:space="0" w:color="4472C4"/>
              <w:right w:val="single" w:sz="12" w:space="0" w:color="4472C4"/>
            </w:tcBorders>
          </w:tcPr>
          <w:p w14:paraId="35C449E7" w14:textId="77777777" w:rsidR="00D23CBE" w:rsidRPr="008E3526" w:rsidRDefault="00D23CBE" w:rsidP="007238FD">
            <w:pPr>
              <w:spacing w:before="288"/>
              <w:rPr>
                <w:rFonts w:ascii="Verdana" w:eastAsia="Times New Roman" w:hAnsi="Verdana" w:cs="Calibri"/>
                <w:bCs/>
                <w:color w:val="000000" w:themeColor="text1"/>
                <w:szCs w:val="20"/>
              </w:rPr>
            </w:pPr>
            <w:r w:rsidRPr="008E3526">
              <w:rPr>
                <w:rFonts w:ascii="Verdana" w:hAnsi="Verdana" w:cs="Calibri"/>
                <w:color w:val="000000" w:themeColor="text1"/>
                <w:szCs w:val="20"/>
              </w:rPr>
              <w:t xml:space="preserve">Zrozumienie i rozważenie spraw takich jak jakie zlecenia wykonuje firma, w tym: </w:t>
            </w:r>
          </w:p>
          <w:p w14:paraId="4653FEA2" w14:textId="77777777" w:rsidR="00D23CBE" w:rsidRPr="008E3526" w:rsidRDefault="00D23CBE" w:rsidP="008E3526">
            <w:pPr>
              <w:pStyle w:val="Akapitzlist"/>
              <w:numPr>
                <w:ilvl w:val="0"/>
                <w:numId w:val="1"/>
              </w:numPr>
              <w:spacing w:before="288"/>
              <w:ind w:left="416" w:hanging="416"/>
              <w:contextualSpacing w:val="0"/>
              <w:rPr>
                <w:rFonts w:ascii="Verdana" w:eastAsia="Times New Roman" w:hAnsi="Verdana" w:cs="Calibri"/>
                <w:bCs/>
                <w:color w:val="000000" w:themeColor="text1"/>
                <w:szCs w:val="20"/>
              </w:rPr>
            </w:pPr>
            <w:r w:rsidRPr="008E3526">
              <w:rPr>
                <w:rFonts w:ascii="Verdana" w:hAnsi="Verdana" w:cs="Calibri"/>
                <w:color w:val="000000" w:themeColor="text1"/>
                <w:szCs w:val="20"/>
              </w:rPr>
              <w:t xml:space="preserve">Badania lub przeglądy sprawozdań finansowych oraz to, czy firma wykonuje zlecenia dotyczące streszczonych sprawozdań finansowych lub przeglądy śródrocznych sprawozdań finansowych. </w:t>
            </w:r>
          </w:p>
          <w:p w14:paraId="1F5C63EC" w14:textId="2E26A4BA" w:rsidR="00D23CBE" w:rsidRPr="008E3526" w:rsidRDefault="00D23CBE" w:rsidP="008E3526">
            <w:pPr>
              <w:pStyle w:val="Akapitzlist"/>
              <w:numPr>
                <w:ilvl w:val="0"/>
                <w:numId w:val="1"/>
              </w:numPr>
              <w:spacing w:before="288"/>
              <w:ind w:left="416" w:hanging="416"/>
              <w:contextualSpacing w:val="0"/>
              <w:rPr>
                <w:rFonts w:ascii="Verdana" w:eastAsia="Times New Roman" w:hAnsi="Verdana" w:cs="Calibri"/>
                <w:bCs/>
                <w:color w:val="000000" w:themeColor="text1"/>
                <w:szCs w:val="20"/>
              </w:rPr>
            </w:pPr>
            <w:r w:rsidRPr="008E3526">
              <w:rPr>
                <w:rFonts w:ascii="Verdana" w:hAnsi="Verdana" w:cs="Calibri"/>
                <w:color w:val="000000" w:themeColor="text1"/>
                <w:szCs w:val="20"/>
              </w:rPr>
              <w:t>Inne zlecenia usług atestacyjnych lub usług pokrewnych oraz rodzaje spraw będących przedmiotem takich zleceń (np. sprawozdania dotyczące g</w:t>
            </w:r>
            <w:r w:rsidR="008E3526">
              <w:rPr>
                <w:rFonts w:ascii="Verdana" w:hAnsi="Verdana" w:cs="Calibri"/>
                <w:color w:val="000000" w:themeColor="text1"/>
                <w:szCs w:val="20"/>
              </w:rPr>
              <w:t>azów cieplarnianych, kontrole w </w:t>
            </w:r>
            <w:r w:rsidRPr="008E3526">
              <w:rPr>
                <w:rFonts w:ascii="Verdana" w:hAnsi="Verdana" w:cs="Calibri"/>
                <w:color w:val="000000" w:themeColor="text1"/>
                <w:szCs w:val="20"/>
              </w:rPr>
              <w:t xml:space="preserve">organizacjach usługowych, itp.). </w:t>
            </w:r>
          </w:p>
          <w:p w14:paraId="36720AC2" w14:textId="77777777" w:rsidR="00D23CBE" w:rsidRPr="008E3526" w:rsidRDefault="00D23CBE" w:rsidP="007238FD">
            <w:pPr>
              <w:spacing w:before="288" w:after="120"/>
              <w:rPr>
                <w:rFonts w:ascii="Verdana" w:eastAsia="Times New Roman" w:hAnsi="Verdana" w:cs="Calibri"/>
                <w:bCs/>
                <w:color w:val="000000" w:themeColor="text1"/>
                <w:szCs w:val="20"/>
              </w:rPr>
            </w:pPr>
            <w:r w:rsidRPr="008E3526">
              <w:rPr>
                <w:rFonts w:ascii="Verdana" w:hAnsi="Verdana" w:cs="Calibri"/>
                <w:color w:val="000000" w:themeColor="text1"/>
                <w:szCs w:val="20"/>
              </w:rPr>
              <w:t xml:space="preserve">Firma może również zrozumieć i rozważyć, w jaki sposób sprawozdania wydawane przez firmę mogą zostać wykorzystane przez ich użytkowników. </w:t>
            </w:r>
          </w:p>
        </w:tc>
      </w:tr>
      <w:tr w:rsidR="00D23CBE" w:rsidRPr="008E3526" w14:paraId="07D75755" w14:textId="77777777" w:rsidTr="006F52A4">
        <w:trPr>
          <w:trHeight w:val="1320"/>
        </w:trPr>
        <w:tc>
          <w:tcPr>
            <w:tcW w:w="2580" w:type="dxa"/>
            <w:tcBorders>
              <w:top w:val="single" w:sz="12" w:space="0" w:color="4472C4"/>
              <w:left w:val="single" w:sz="12" w:space="0" w:color="4472C4"/>
              <w:bottom w:val="single" w:sz="12" w:space="0" w:color="4472C4"/>
              <w:right w:val="single" w:sz="12" w:space="0" w:color="0070C0"/>
            </w:tcBorders>
            <w:shd w:val="clear" w:color="auto" w:fill="D9D9D9" w:themeFill="background1" w:themeFillShade="D9"/>
          </w:tcPr>
          <w:p w14:paraId="1910ED8F" w14:textId="77777777" w:rsidR="00D23CBE" w:rsidRPr="008E3526" w:rsidRDefault="00D23CBE" w:rsidP="007238FD">
            <w:pPr>
              <w:spacing w:before="288"/>
              <w:jc w:val="left"/>
              <w:rPr>
                <w:rFonts w:ascii="Verdana" w:eastAsia="Times New Roman" w:hAnsi="Verdana" w:cs="Calibri"/>
                <w:b/>
                <w:bCs/>
                <w:color w:val="000000" w:themeColor="text1"/>
                <w:szCs w:val="20"/>
              </w:rPr>
            </w:pPr>
            <w:r w:rsidRPr="008E3526">
              <w:rPr>
                <w:rFonts w:ascii="Verdana" w:hAnsi="Verdana" w:cs="Calibri"/>
                <w:b/>
                <w:bCs/>
                <w:color w:val="000000" w:themeColor="text1"/>
                <w:szCs w:val="20"/>
              </w:rPr>
              <w:t>Rodzaje jednostek, dla których wykonywane są zlecenia</w:t>
            </w:r>
          </w:p>
        </w:tc>
        <w:tc>
          <w:tcPr>
            <w:tcW w:w="7026" w:type="dxa"/>
            <w:tcBorders>
              <w:top w:val="single" w:sz="12" w:space="0" w:color="4472C4"/>
              <w:left w:val="single" w:sz="12" w:space="0" w:color="0070C0"/>
              <w:bottom w:val="single" w:sz="12" w:space="0" w:color="4472C4"/>
              <w:right w:val="single" w:sz="12" w:space="0" w:color="4472C4"/>
            </w:tcBorders>
          </w:tcPr>
          <w:p w14:paraId="39763B8D" w14:textId="77777777" w:rsidR="00D23CBE" w:rsidRPr="008E3526" w:rsidRDefault="00D23CBE" w:rsidP="007238FD">
            <w:pPr>
              <w:spacing w:before="288" w:after="120"/>
              <w:rPr>
                <w:rFonts w:ascii="Verdana" w:eastAsia="Times New Roman" w:hAnsi="Verdana" w:cs="Calibri"/>
                <w:bCs/>
                <w:color w:val="000000" w:themeColor="text1"/>
                <w:szCs w:val="20"/>
              </w:rPr>
            </w:pPr>
            <w:r w:rsidRPr="008E3526">
              <w:rPr>
                <w:rFonts w:ascii="Verdana" w:hAnsi="Verdana" w:cs="Calibri"/>
                <w:color w:val="000000" w:themeColor="text1"/>
                <w:szCs w:val="20"/>
              </w:rPr>
              <w:t>Zrozumienie i rozważenie spraw takich jak branże, w jakich działają jednostki oraz rodzaj ich działalności, wielkość i złożoność jednostek, rodzaj akcjonariuszy w jednostkach (np. zarządzane przez właściciela lub notowane na giełdzie papierów wartościowych), bądź wielkość lub rodzaj interesariuszy jednostek.</w:t>
            </w:r>
          </w:p>
        </w:tc>
      </w:tr>
    </w:tbl>
    <w:bookmarkEnd w:id="1"/>
    <w:p w14:paraId="6B3E19D0" w14:textId="77777777" w:rsidR="00D23CBE" w:rsidRPr="008E3526" w:rsidRDefault="00D23CBE" w:rsidP="00D23CBE">
      <w:pPr>
        <w:rPr>
          <w:rFonts w:ascii="Verdana" w:hAnsi="Verdana" w:cs="Calibri"/>
          <w:szCs w:val="22"/>
        </w:rPr>
      </w:pPr>
      <w:r w:rsidRPr="008E3526">
        <w:rPr>
          <w:rFonts w:ascii="Verdana" w:hAnsi="Verdana" w:cs="Calibri"/>
          <w:szCs w:val="22"/>
        </w:rPr>
        <w:t>Należy zwrócić uwagę na to, że lista warunków, zdarzeń, okoliczności, działań lub zaniechań zawarta w par. 25(a) MSZJ 1 nie stanowi katalogu zamkniętego. Mogą istnieć inne warunki, zdarzenia, okoliczności, działania lub zaniechania, które mogą niekorzystnie wpłynąć na osiągnięcie celu jakości i które firma musiałaby zrozumieć a następnie rozważyć, czy istnieje ryzyko jakości.</w:t>
      </w:r>
    </w:p>
    <w:p w14:paraId="48713AC5" w14:textId="77777777" w:rsidR="00D23CBE" w:rsidRPr="008E3526" w:rsidRDefault="00D23CBE" w:rsidP="00D23CBE">
      <w:pPr>
        <w:spacing w:after="120"/>
        <w:rPr>
          <w:rFonts w:ascii="Verdana" w:hAnsi="Verdana" w:cs="Calibri"/>
          <w:szCs w:val="22"/>
        </w:rPr>
      </w:pPr>
      <w:r w:rsidRPr="008E3526">
        <w:rPr>
          <w:rFonts w:ascii="Verdana" w:hAnsi="Verdana" w:cs="Calibri"/>
          <w:szCs w:val="22"/>
        </w:rPr>
        <w:t xml:space="preserve">Ponadto, nie wszystkie warunki, zdarzenia, okoliczności, działania lub zaniechania mają zastosowanie do każdego celu jakości. </w:t>
      </w:r>
    </w:p>
    <w:p w14:paraId="2231C2E6" w14:textId="77777777" w:rsidR="00D23CBE" w:rsidRPr="008E3526" w:rsidRDefault="00D23CBE">
      <w:pPr>
        <w:rPr>
          <w:rFonts w:ascii="Verdana" w:hAnsi="Verdana" w:cs="Calibri"/>
          <w:szCs w:val="22"/>
        </w:rPr>
      </w:pPr>
    </w:p>
    <w:sectPr w:rsidR="00D23CBE" w:rsidRPr="008E35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7016"/>
    <w:multiLevelType w:val="hybridMultilevel"/>
    <w:tmpl w:val="B192C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CBE"/>
    <w:rsid w:val="0001709B"/>
    <w:rsid w:val="002A769B"/>
    <w:rsid w:val="00447E17"/>
    <w:rsid w:val="006F52A4"/>
    <w:rsid w:val="008E3526"/>
    <w:rsid w:val="00A369E2"/>
    <w:rsid w:val="00D23CBE"/>
    <w:rsid w:val="00EC64D2"/>
    <w:rsid w:val="00EE2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2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3CBE"/>
    <w:pPr>
      <w:spacing w:before="120" w:after="0" w:line="280" w:lineRule="exact"/>
      <w:jc w:val="both"/>
    </w:pPr>
    <w:rPr>
      <w:rFonts w:ascii="Arial" w:eastAsiaTheme="minorEastAsia" w:hAnsi="Arial"/>
      <w:sz w:val="2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23CBE"/>
    <w:pPr>
      <w:spacing w:beforeLines="120" w:before="60" w:after="60" w:line="280" w:lineRule="exact"/>
      <w:jc w:val="both"/>
    </w:pPr>
    <w:rPr>
      <w:rFonts w:ascii="Times New Roman" w:eastAsiaTheme="minorEastAsia" w:hAnsi="Times New Roman"/>
      <w:sz w:val="24"/>
      <w:szCs w:val="24"/>
    </w:r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cantSplit/>
    </w:trPr>
  </w:style>
  <w:style w:type="paragraph" w:styleId="Akapitzlist">
    <w:name w:val="List Paragraph"/>
    <w:aliases w:val="Bullet Points,1st Bullet"/>
    <w:basedOn w:val="Normalny"/>
    <w:link w:val="AkapitzlistZnak"/>
    <w:uiPriority w:val="34"/>
    <w:qFormat/>
    <w:rsid w:val="00D23CBE"/>
    <w:pPr>
      <w:ind w:left="720"/>
      <w:contextualSpacing/>
    </w:pPr>
  </w:style>
  <w:style w:type="character" w:customStyle="1" w:styleId="AkapitzlistZnak">
    <w:name w:val="Akapit z listą Znak"/>
    <w:aliases w:val="Bullet Points Znak,1st Bullet Znak"/>
    <w:link w:val="Akapitzlist"/>
    <w:uiPriority w:val="34"/>
    <w:rsid w:val="00D23CBE"/>
    <w:rPr>
      <w:rFonts w:ascii="Arial" w:eastAsiaTheme="minorEastAsia" w:hAnsi="Arial"/>
      <w:sz w:val="20"/>
      <w:szCs w:val="24"/>
    </w:rPr>
  </w:style>
  <w:style w:type="paragraph" w:styleId="Tekstdymka">
    <w:name w:val="Balloon Text"/>
    <w:basedOn w:val="Normalny"/>
    <w:link w:val="TekstdymkaZnak"/>
    <w:uiPriority w:val="99"/>
    <w:semiHidden/>
    <w:unhideWhenUsed/>
    <w:rsid w:val="008E3526"/>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526"/>
    <w:rPr>
      <w:rFonts w:ascii="Segoe UI" w:eastAsiaTheme="minorEastAsia"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3CBE"/>
    <w:pPr>
      <w:spacing w:before="120" w:after="0" w:line="280" w:lineRule="exact"/>
      <w:jc w:val="both"/>
    </w:pPr>
    <w:rPr>
      <w:rFonts w:ascii="Arial" w:eastAsiaTheme="minorEastAsia" w:hAnsi="Arial"/>
      <w:sz w:val="2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23CBE"/>
    <w:pPr>
      <w:spacing w:beforeLines="120" w:before="60" w:after="60" w:line="280" w:lineRule="exact"/>
      <w:jc w:val="both"/>
    </w:pPr>
    <w:rPr>
      <w:rFonts w:ascii="Times New Roman" w:eastAsiaTheme="minorEastAsia" w:hAnsi="Times New Roman"/>
      <w:sz w:val="24"/>
      <w:szCs w:val="24"/>
    </w:r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cantSplit/>
    </w:trPr>
  </w:style>
  <w:style w:type="paragraph" w:styleId="Akapitzlist">
    <w:name w:val="List Paragraph"/>
    <w:aliases w:val="Bullet Points,1st Bullet"/>
    <w:basedOn w:val="Normalny"/>
    <w:link w:val="AkapitzlistZnak"/>
    <w:uiPriority w:val="34"/>
    <w:qFormat/>
    <w:rsid w:val="00D23CBE"/>
    <w:pPr>
      <w:ind w:left="720"/>
      <w:contextualSpacing/>
    </w:pPr>
  </w:style>
  <w:style w:type="character" w:customStyle="1" w:styleId="AkapitzlistZnak">
    <w:name w:val="Akapit z listą Znak"/>
    <w:aliases w:val="Bullet Points Znak,1st Bullet Znak"/>
    <w:link w:val="Akapitzlist"/>
    <w:uiPriority w:val="34"/>
    <w:rsid w:val="00D23CBE"/>
    <w:rPr>
      <w:rFonts w:ascii="Arial" w:eastAsiaTheme="minorEastAsia" w:hAnsi="Arial"/>
      <w:sz w:val="20"/>
      <w:szCs w:val="24"/>
    </w:rPr>
  </w:style>
  <w:style w:type="paragraph" w:styleId="Tekstdymka">
    <w:name w:val="Balloon Text"/>
    <w:basedOn w:val="Normalny"/>
    <w:link w:val="TekstdymkaZnak"/>
    <w:uiPriority w:val="99"/>
    <w:semiHidden/>
    <w:unhideWhenUsed/>
    <w:rsid w:val="008E3526"/>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52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B4E62-BCA2-4B7E-AE78-5F3EBF5FA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567</Words>
  <Characters>3408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Sobińska</dc:creator>
  <cp:lastModifiedBy>Bamber Grażyna</cp:lastModifiedBy>
  <cp:revision>3</cp:revision>
  <cp:lastPrinted>2023-02-20T11:46:00Z</cp:lastPrinted>
  <dcterms:created xsi:type="dcterms:W3CDTF">2023-01-27T22:11:00Z</dcterms:created>
  <dcterms:modified xsi:type="dcterms:W3CDTF">2023-02-20T11:49:00Z</dcterms:modified>
</cp:coreProperties>
</file>